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</w:pPr>
    </w:p>
    <w:p>
      <w:pPr>
        <w:spacing w:after="100" w:before="0"/>
        <w:jc w:val="center"/>
      </w:pPr>
      <w:r>
        <w:rPr>
          <w:rFonts w:ascii="Poppins" w:cs="Poppins" w:eastAsia="Poppins" w:hAnsi="Poppins"/>
          <w:b/>
          <w:bCs/>
          <w:color w:val="0B1D3A"/>
          <w:sz w:val="96"/>
          <w:szCs w:val="96"/>
        </w:rPr>
        <w:t xml:space="preserve">t.Co.</w:t>
      </w:r>
    </w:p>
    <w:p>
      <w:pPr>
        <w:spacing w:after="180" w:before="0"/>
        <w:jc w:val="center"/>
      </w:pPr>
      <w:r>
        <w:rPr>
          <w:rFonts w:ascii="Poppins" w:cs="Poppins" w:eastAsia="Poppins" w:hAnsi="Poppins"/>
          <w:color w:val="6B6560"/>
          <w:sz w:val="34"/>
          <w:szCs w:val="34"/>
        </w:rPr>
        <w:t xml:space="preserve">Brand Identity &amp; Design System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18"/>
          <w:szCs w:val="18"/>
        </w:rPr>
        <w:t xml:space="preserve">Draft v1.0  ·  April 2026  ·  David Castiel  ·  HIT M.Design</w:t>
      </w:r>
    </w:p>
    <w:p>
      <w:pPr>
        <w:spacing w:after="220" w:before="0"/>
      </w:pPr>
    </w:p>
    <w:p>
      <w:pPr>
        <w:jc w:val="center"/>
      </w:pPr>
      <w:r>
        <w:rPr>
          <w:rFonts w:ascii="Poppins" w:cs="Poppins" w:eastAsia="Poppins" w:hAnsi="Poppins"/>
          <w:b/>
          <w:bCs/>
          <w:color w:val="9A7A3E"/>
          <w:sz w:val="19"/>
          <w:szCs w:val="19"/>
        </w:rPr>
        <w:t xml:space="preserve">Logo  ·  Color  ·  Typography  ·  Spacing  ·  Components  ·  Brand Voice  ·  Motion  ·  Iconography</w:t>
      </w:r>
    </w:p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01 — Brand Overview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Brand Overview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t.Co. is a refined, intelligent AI travel companion — built to feel modern, human, and quietly powerful. The brand sits at the intersection of luxury travel and accessible technology.</w:t>
      </w:r>
    </w:p>
    <w:p>
      <w:pPr>
        <w:spacing w:after="10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27"/>
        <w:gridCol w:w="6479"/>
      </w:tblGrid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Mission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To make every journey feel effortlessly personal — as if you have a brilliant, well-traveled friend planning every detail on your behalf.</w:t>
            </w:r>
          </w:p>
        </w:tc>
      </w:tr>
    </w:tbl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27"/>
        <w:gridCol w:w="6479"/>
      </w:tblGrid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Positioning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Not a travel app. Not a chatbot. A lifelong companion that gets smarter with every trip — hyper-personalized, always available, quietly intelligent.</w:t>
            </w:r>
          </w:p>
        </w:tc>
      </w:tr>
    </w:tbl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27"/>
        <w:gridCol w:w="6479"/>
      </w:tblGrid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Aesthetic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Contemporary minimal — generous whitespace, light typography, precise geometry, no decorative excess. Dark, elegant, gold-accented, with quiet confidence.</w:t>
            </w:r>
          </w:p>
        </w:tc>
      </w:tr>
    </w:tbl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27"/>
        <w:gridCol w:w="6479"/>
      </w:tblGrid>
      <w:tr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Audience</w:t>
            </w:r>
          </w:p>
        </w:tc>
        <w:tc>
          <w:tcPr>
            <w:tcW w:type="dxa" w:w="6479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Experience seekers, adventure travelers, and business travelers who value quality, efficiency, and authentic experiences.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02 — Logo &amp; Wordmark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Logo &amp; Wordmark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The t.Co. wordmark is the primary brand asset, paired with a geometric Globe Mark — three latitude ellipses and two meridian arcs converging on a gold center dot, evoking navigation, travel, and precision.</w:t>
      </w:r>
    </w:p>
    <w:p>
      <w:pPr>
        <w:spacing w:after="10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Globe Mark — Concept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58"/>
        <w:gridCol w:w="5648"/>
      </w:tblGrid>
      <w:tr>
        <w:tc>
          <w:tcPr>
            <w:tcW w:type="dxa" w:w="2658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8E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Elements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3 latitude ellipse arcs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2 meridian curve arcs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1 outer ring circle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1 gold center dot</w:t>
            </w:r>
          </w:p>
        </w:tc>
        <w:tc>
          <w:tcPr>
            <w:tcW w:type="dxa" w:w="5648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Concept</w:t>
            </w:r>
          </w:p>
          <w:p>
            <w:pPr>
              <w:spacing w:after="10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The mark reads as a stylized globe — a world in miniature. The latitude and meridian lines suggest navigation and travel. The gold dot at the center marks the destination: the traveler, at the heart of the system.</w:t>
            </w:r>
          </w:p>
        </w:tc>
      </w:tr>
    </w:tbl>
    <w:p>
      <w:pPr>
        <w:spacing w:after="10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Wordmark Specifications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58"/>
        <w:gridCol w:w="5648"/>
      </w:tblGrid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Typeface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Poppins Bold 700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Letter-spacing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−0.04em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Dot color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#C8A96E — first period and trailing period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Second dot opacity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65%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9"/>
                <w:szCs w:val="19"/>
              </w:rPr>
              <w:t xml:space="preserve">Always written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t.Co. — lowercase t, uppercase C, both periods</w:t>
            </w:r>
          </w:p>
        </w:tc>
      </w:tr>
    </w:tbl>
    <w:p>
      <w:pPr>
        <w:spacing w:after="10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Logo Rules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53"/>
        <w:gridCol w:w="4153"/>
      </w:tblGrid>
      <w:tr>
        <w:tc>
          <w:tcPr>
            <w:tcW w:type="dxa" w:w="4153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0FB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20"/>
                <w:szCs w:val="20"/>
              </w:rPr>
              <w:t xml:space="preserve">✓  Do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Write as t.Co. — lowercase t, uppercase C, both periods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Bold in running text: t.Co.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First mention: t.Co. Personal AI Travel Concierge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Maintain clear space = cap-height on all sides</w:t>
            </w:r>
          </w:p>
        </w:tc>
        <w:tc>
          <w:tcPr>
            <w:tcW w:type="dxa" w:w="4153"/>
            <w:tcBorders>
              <w:top w:val="single" w:color="C0392B" w:sz="8"/>
              <w:left w:val="single" w:color="E2DDD4" w:sz="2"/>
              <w:bottom w:val="single" w:color="E2DDD4" w:sz="2"/>
              <w:right w:val="single" w:color="E2DDD4" w:sz="2"/>
            </w:tcBorders>
            <w:shd w:fill="FD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Poppins" w:cs="Poppins" w:eastAsia="Poppins" w:hAnsi="Poppins"/>
                <w:b/>
                <w:bCs/>
                <w:color w:val="C0392B"/>
                <w:sz w:val="20"/>
                <w:szCs w:val="20"/>
              </w:rPr>
              <w:t xml:space="preserve">✗  Don't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Write as TCO, Tco, t.co, T.CO, or TICO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Change dot color or make both dots same opacity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Use weights other than Bold 700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Stretch, rotate, outline, or shadow the mark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03 — Color Palette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Color Palette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Anchored in deep navy-blacks with a warm gold accent — evoking luxury travel, twilight skies, and refined intelligence. Teal and purple provide interactive and status signals.</w:t>
      </w:r>
    </w:p>
    <w:p>
      <w:pPr>
        <w:spacing w:after="10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Dark Mode — Default Surfaces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A0A0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13131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1C223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2A3245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</w:tr>
      <w:tr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Background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#0A0A0F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Page background</w:t>
            </w: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Surface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#13131A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Header, footer</w:t>
            </w: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Card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#1C2230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Elevated</w:t>
            </w: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Border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#2A3245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All borders</w:t>
            </w:r>
          </w:p>
        </w:tc>
      </w:tr>
    </w:tbl>
    <w:p>
      <w:pPr>
        <w:spacing w:after="8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Accent Colors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C8A96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4ECDC4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7C6FCD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8B743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</w:tr>
      <w:tr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Gold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#C8A96E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Logo, CTAs</w:t>
            </w: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Teal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#4ECDC4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Interactive</w:t>
            </w: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Purple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#7C6FCD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Design</w:t>
            </w: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Amber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#F8B743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QA/Warnings</w:t>
            </w:r>
          </w:p>
        </w:tc>
      </w:tr>
    </w:tbl>
    <w:p>
      <w:pPr>
        <w:spacing w:after="8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Text Colors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8"/>
        <w:gridCol w:w="2768"/>
        <w:gridCol w:w="2768"/>
      </w:tblGrid>
      <w:tr>
        <w:tc>
          <w:tcPr>
            <w:tcW w:type="dxa" w:w="27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0ED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7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8A95A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7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4A556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</w:tr>
      <w:tr>
        <w:tc>
          <w:tcPr>
            <w:tcW w:type="dxa" w:w="27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Primary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#F0EDE8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Headings</w:t>
            </w:r>
          </w:p>
        </w:tc>
        <w:tc>
          <w:tcPr>
            <w:tcW w:type="dxa" w:w="27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Secondary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#8A95AA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Body text</w:t>
            </w:r>
          </w:p>
        </w:tc>
        <w:tc>
          <w:tcPr>
            <w:tcW w:type="dxa" w:w="276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Muted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#4A5568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Metadata</w:t>
            </w:r>
          </w:p>
        </w:tc>
      </w:tr>
    </w:tbl>
    <w:p>
      <w:pPr>
        <w:spacing w:after="8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Light Mode Overrides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76"/>
        <w:gridCol w:w="2076"/>
        <w:gridCol w:w="2076"/>
        <w:gridCol w:w="2076"/>
      </w:tblGrid>
      <w:tr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AFAF7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9A7A3E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280" w:before="0"/>
            </w:pPr>
          </w:p>
        </w:tc>
      </w:tr>
      <w:tr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Background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#FAFAF7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Page bg</w:t>
            </w: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Surface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#FFFFFF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Header</w:t>
            </w: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Card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#F4F1EB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Cards</w:t>
            </w:r>
          </w:p>
        </w:tc>
        <w:tc>
          <w:tcPr>
            <w:tcW w:type="dxa" w:w="207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0F1C2E"/>
                <w:sz w:val="18"/>
                <w:szCs w:val="18"/>
              </w:rPr>
              <w:t xml:space="preserve">Gold (light)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#9A7A3E</w:t>
            </w:r>
          </w:p>
          <w:p>
            <w:r>
              <w:rPr>
                <w:rFonts w:ascii="Poppins" w:cs="Poppins" w:eastAsia="Poppins" w:hAnsi="Poppins"/>
                <w:color w:val="6B6560"/>
                <w:sz w:val="16"/>
                <w:szCs w:val="16"/>
              </w:rPr>
              <w:t xml:space="preserve">Contrast</w:t>
            </w:r>
          </w:p>
        </w:tc>
      </w:tr>
    </w:tbl>
    <w:p>
      <w:pPr>
        <w:spacing w:after="10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Color Rules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53"/>
        <w:gridCol w:w="4153"/>
      </w:tblGrid>
      <w:tr>
        <w:tc>
          <w:tcPr>
            <w:tcW w:type="dxa" w:w="4153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0FB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20"/>
                <w:szCs w:val="20"/>
              </w:rPr>
              <w:t xml:space="preserve">✓  Do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Use Gold only for interactive elements, logo, and primary CTAs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Use Teal for live / AI indicators and implemented features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Maintain WCAG AA contrast (4.5:1) for all body text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Default to dark mode for first-time visitors</w:t>
            </w:r>
          </w:p>
        </w:tc>
        <w:tc>
          <w:tcPr>
            <w:tcW w:type="dxa" w:w="4153"/>
            <w:tcBorders>
              <w:top w:val="single" w:color="C0392B" w:sz="8"/>
              <w:left w:val="single" w:color="E2DDD4" w:sz="2"/>
              <w:bottom w:val="single" w:color="E2DDD4" w:sz="2"/>
              <w:right w:val="single" w:color="E2DDD4" w:sz="2"/>
            </w:tcBorders>
            <w:shd w:fill="FD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Poppins" w:cs="Poppins" w:eastAsia="Poppins" w:hAnsi="Poppins"/>
                <w:b/>
                <w:bCs/>
                <w:color w:val="C0392B"/>
                <w:sz w:val="20"/>
                <w:szCs w:val="20"/>
              </w:rPr>
              <w:t xml:space="preserve">✗  Don't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Use pure #000000 or #FFFFFF as dominant surfaces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Use more than 3 accent colors in one composition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Use gradients with more than 2 stops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Use drop shadows — use border + background contrast only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04 — Typography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Typography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Three purposeful families: Poppins for Latin UI and headings, Noto Sans Hebrew for all Hebrew content, JetBrains Mono for code and technical labels.</w:t>
      </w:r>
    </w:p>
    <w:p>
      <w:pPr>
        <w:spacing w:after="10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Type Scale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"/>
        <w:gridCol w:w="997"/>
        <w:gridCol w:w="2326"/>
        <w:gridCol w:w="3904"/>
      </w:tblGrid>
      <w:tr>
        <w:trPr>
          <w:tblHeader/>
        </w:trPr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Size</w:t>
            </w:r>
          </w:p>
        </w:tc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Role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Weight / Style</w:t>
            </w:r>
          </w:p>
        </w:tc>
        <w:tc>
          <w:tcPr>
            <w:tcW w:type="dxa" w:w="390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Specimen</w:t>
            </w:r>
          </w:p>
        </w:tc>
      </w:tr>
      <w:tr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32–42px</w:t>
            </w:r>
          </w:p>
        </w:tc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19"/>
                <w:szCs w:val="19"/>
              </w:rPr>
              <w:t xml:space="preserve">Display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Bold 700 / −0.02em</w:t>
            </w:r>
          </w:p>
        </w:tc>
        <w:tc>
          <w:tcPr>
            <w:tcW w:type="dxa" w:w="390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t.Co.</w:t>
            </w:r>
          </w:p>
        </w:tc>
      </w:tr>
      <w:tr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24–28px</w:t>
            </w:r>
          </w:p>
        </w:tc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19"/>
                <w:szCs w:val="19"/>
              </w:rPr>
              <w:t xml:space="preserve">H1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SemiBold 600</w:t>
            </w:r>
          </w:p>
        </w:tc>
        <w:tc>
          <w:tcPr>
            <w:tcW w:type="dxa" w:w="390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Brand Identity</w:t>
            </w:r>
          </w:p>
        </w:tc>
      </w:tr>
      <w:tr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18–20px</w:t>
            </w:r>
          </w:p>
        </w:tc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19"/>
                <w:szCs w:val="19"/>
              </w:rPr>
              <w:t xml:space="preserve">H2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Medium 500</w:t>
            </w:r>
          </w:p>
        </w:tc>
        <w:tc>
          <w:tcPr>
            <w:tcW w:type="dxa" w:w="390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Agent Catalog</w:t>
            </w:r>
          </w:p>
        </w:tc>
      </w:tr>
      <w:tr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14–16px</w:t>
            </w:r>
          </w:p>
        </w:tc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19"/>
                <w:szCs w:val="19"/>
              </w:rPr>
              <w:t xml:space="preserve">H3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Medium 500 / Gold</w:t>
            </w:r>
          </w:p>
        </w:tc>
        <w:tc>
          <w:tcPr>
            <w:tcW w:type="dxa" w:w="390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Before Trip</w:t>
            </w:r>
          </w:p>
        </w:tc>
      </w:tr>
      <w:tr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13–15px</w:t>
            </w:r>
          </w:p>
        </w:tc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19"/>
                <w:szCs w:val="19"/>
              </w:rPr>
              <w:t xml:space="preserve">Body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Light 300 / 1.7lh</w:t>
            </w:r>
          </w:p>
        </w:tc>
        <w:tc>
          <w:tcPr>
            <w:tcW w:type="dxa" w:w="390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The system builds a continuous model...</w:t>
            </w:r>
          </w:p>
        </w:tc>
      </w:tr>
      <w:tr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10px</w:t>
            </w:r>
          </w:p>
        </w:tc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19"/>
                <w:szCs w:val="19"/>
              </w:rPr>
              <w:t xml:space="preserve">Label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Medium / UPPERCASE</w:t>
            </w:r>
          </w:p>
        </w:tc>
        <w:tc>
          <w:tcPr>
            <w:tcW w:type="dxa" w:w="390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Architecture · v2.0</w:t>
            </w:r>
          </w:p>
        </w:tc>
      </w:tr>
      <w:tr>
        <w:tc>
          <w:tcPr>
            <w:tcW w:type="dxa" w:w="1080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11px</w:t>
            </w:r>
          </w:p>
        </w:tc>
        <w:tc>
          <w:tcPr>
            <w:tcW w:type="dxa" w:w="99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19"/>
                <w:szCs w:val="19"/>
              </w:rPr>
              <w:t xml:space="preserve">Mono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JetBrains Mono</w:t>
            </w:r>
          </w:p>
        </w:tc>
        <w:tc>
          <w:tcPr>
            <w:tcW w:type="dxa" w:w="390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AGT-01 · #C8A96E · v1.0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07 — Brand Voice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Brand Voice &amp; Tone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t.Co. speaks like a brilliant, well-traveled friend — not a customer service bot. Warm and direct, never robotic or corporate. Confident, concise, and always personal.</w:t>
      </w:r>
    </w:p>
    <w:p>
      <w:pPr>
        <w:spacing w:after="10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61"/>
        <w:gridCol w:w="6645"/>
      </w:tblGrid>
      <w:tr>
        <w:tc>
          <w:tcPr>
            <w:tcW w:type="dxa" w:w="1661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2"/>
                <w:szCs w:val="22"/>
              </w:rPr>
              <w:t xml:space="preserve">Intelligent</w:t>
            </w:r>
          </w:p>
          <w:p>
            <w:pPr>
              <w:spacing w:after="0" w:before="30"/>
            </w:pPr>
            <w:r>
              <w:rPr>
                <w:rFonts w:ascii="Poppins" w:cs="Poppins" w:eastAsia="Poppins" w:hAnsi="Poppins"/>
                <w:color w:val="6B6560"/>
                <w:sz w:val="17"/>
                <w:szCs w:val="17"/>
              </w:rPr>
              <w:t xml:space="preserve">Offers depth without being asked. Never pads with filler.</w:t>
            </w:r>
          </w:p>
        </w:tc>
        <w:tc>
          <w:tcPr>
            <w:tcW w:type="dxa" w:w="6645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✓  </w:t>
            </w:r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"Tokyo works best in late October — crowds thin and the foliage peaks."</w:t>
            </w:r>
          </w:p>
          <w:p>
            <w:r>
              <w:rPr>
                <w:rFonts w:ascii="Poppins" w:cs="Poppins" w:eastAsia="Poppins" w:hAnsi="Poppins"/>
                <w:b/>
                <w:bCs/>
                <w:color w:val="C0392B"/>
                <w:sz w:val="19"/>
                <w:szCs w:val="19"/>
              </w:rPr>
              <w:t xml:space="preserve">✗  </w:t>
            </w: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"Tokyo is a wonderful city with many great options for tourists!"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61"/>
        <w:gridCol w:w="6645"/>
      </w:tblGrid>
      <w:tr>
        <w:tc>
          <w:tcPr>
            <w:tcW w:type="dxa" w:w="1661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2"/>
                <w:szCs w:val="22"/>
              </w:rPr>
              <w:t xml:space="preserve">Warm</w:t>
            </w:r>
          </w:p>
          <w:p>
            <w:pPr>
              <w:spacing w:after="0" w:before="30"/>
            </w:pPr>
            <w:r>
              <w:rPr>
                <w:rFonts w:ascii="Poppins" w:cs="Poppins" w:eastAsia="Poppins" w:hAnsi="Poppins"/>
                <w:color w:val="6B6560"/>
                <w:sz w:val="17"/>
                <w:szCs w:val="17"/>
              </w:rPr>
              <w:t xml:space="preserve">Natural language, not jargon. A conversation, not a form.</w:t>
            </w:r>
          </w:p>
        </w:tc>
        <w:tc>
          <w:tcPr>
            <w:tcW w:type="dxa" w:w="6645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✓  </w:t>
            </w:r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"I noticed you prefer quieter spots — skip Tsukiji at opening time."</w:t>
            </w:r>
          </w:p>
          <w:p>
            <w:r>
              <w:rPr>
                <w:rFonts w:ascii="Poppins" w:cs="Poppins" w:eastAsia="Poppins" w:hAnsi="Poppins"/>
                <w:b/>
                <w:bCs/>
                <w:color w:val="C0392B"/>
                <w:sz w:val="19"/>
                <w:szCs w:val="19"/>
              </w:rPr>
              <w:t xml:space="preserve">✗  </w:t>
            </w: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"Based on inputted preferences, the following venues are recommended."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61"/>
        <w:gridCol w:w="6645"/>
      </w:tblGrid>
      <w:tr>
        <w:tc>
          <w:tcPr>
            <w:tcW w:type="dxa" w:w="1661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2"/>
                <w:szCs w:val="22"/>
              </w:rPr>
              <w:t xml:space="preserve">Confident</w:t>
            </w:r>
          </w:p>
          <w:p>
            <w:pPr>
              <w:spacing w:after="0" w:before="30"/>
            </w:pPr>
            <w:r>
              <w:rPr>
                <w:rFonts w:ascii="Poppins" w:cs="Poppins" w:eastAsia="Poppins" w:hAnsi="Poppins"/>
                <w:color w:val="6B6560"/>
                <w:sz w:val="17"/>
                <w:szCs w:val="17"/>
              </w:rPr>
              <w:t xml:space="preserve">Makes recommendations, not suggestions. Clear point of view.</w:t>
            </w:r>
          </w:p>
        </w:tc>
        <w:tc>
          <w:tcPr>
            <w:tcW w:type="dxa" w:w="6645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✓  </w:t>
            </w:r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"Book the 7am Shinkansen — it's worth the early start."</w:t>
            </w:r>
          </w:p>
          <w:p>
            <w:r>
              <w:rPr>
                <w:rFonts w:ascii="Poppins" w:cs="Poppins" w:eastAsia="Poppins" w:hAnsi="Poppins"/>
                <w:b/>
                <w:bCs/>
                <w:color w:val="C0392B"/>
                <w:sz w:val="19"/>
                <w:szCs w:val="19"/>
              </w:rPr>
              <w:t xml:space="preserve">✗  </w:t>
            </w: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"You might want to consider perhaps taking an early train if possible."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61"/>
        <w:gridCol w:w="6645"/>
      </w:tblGrid>
      <w:tr>
        <w:tc>
          <w:tcPr>
            <w:tcW w:type="dxa" w:w="1661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2"/>
                <w:szCs w:val="22"/>
              </w:rPr>
              <w:t xml:space="preserve">Concise</w:t>
            </w:r>
          </w:p>
          <w:p>
            <w:pPr>
              <w:spacing w:after="0" w:before="30"/>
            </w:pPr>
            <w:r>
              <w:rPr>
                <w:rFonts w:ascii="Poppins" w:cs="Poppins" w:eastAsia="Poppins" w:hAnsi="Poppins"/>
                <w:color w:val="6B6560"/>
                <w:sz w:val="17"/>
                <w:szCs w:val="17"/>
              </w:rPr>
              <w:t xml:space="preserve">Says what needs to be said and stops.</w:t>
            </w:r>
          </w:p>
        </w:tc>
        <w:tc>
          <w:tcPr>
            <w:tcW w:type="dxa" w:w="6645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✓  </w:t>
            </w:r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"Flight delayed 40 min. I've moved your dinner reservation."</w:t>
            </w:r>
          </w:p>
          <w:p>
            <w:r>
              <w:rPr>
                <w:rFonts w:ascii="Poppins" w:cs="Poppins" w:eastAsia="Poppins" w:hAnsi="Poppins"/>
                <w:b/>
                <w:bCs/>
                <w:color w:val="C0392B"/>
                <w:sz w:val="19"/>
                <w:szCs w:val="19"/>
              </w:rPr>
              <w:t xml:space="preserve">✗  </w:t>
            </w: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"We have detected a schedule update. Please see the following..."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61"/>
        <w:gridCol w:w="6645"/>
      </w:tblGrid>
      <w:tr>
        <w:tc>
          <w:tcPr>
            <w:tcW w:type="dxa" w:w="1661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Poppins" w:cs="Poppins" w:eastAsia="Poppins" w:hAnsi="Poppins"/>
                <w:b/>
                <w:bCs/>
                <w:color w:val="9A7A3E"/>
                <w:sz w:val="22"/>
                <w:szCs w:val="22"/>
              </w:rPr>
              <w:t xml:space="preserve">Personal</w:t>
            </w:r>
          </w:p>
          <w:p>
            <w:pPr>
              <w:spacing w:after="0" w:before="30"/>
            </w:pPr>
            <w:r>
              <w:rPr>
                <w:rFonts w:ascii="Poppins" w:cs="Poppins" w:eastAsia="Poppins" w:hAnsi="Poppins"/>
                <w:color w:val="6B6560"/>
                <w:sz w:val="17"/>
                <w:szCs w:val="17"/>
              </w:rPr>
              <w:t xml:space="preserve">References what it knows. Never generic.</w:t>
            </w:r>
          </w:p>
        </w:tc>
        <w:tc>
          <w:tcPr>
            <w:tcW w:type="dxa" w:w="6645"/>
            <w:tcBorders>
              <w:top w:val="single" w:color="C8A96E" w:sz="8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✓  </w:t>
            </w:r>
            <w:r>
              <w:rPr>
                <w:rFonts w:ascii="Poppins" w:cs="Poppins" w:eastAsia="Poppins" w:hAnsi="Poppins"/>
                <w:color w:val="0F1C2E"/>
                <w:sz w:val="19"/>
                <w:szCs w:val="19"/>
              </w:rPr>
              <w:t xml:space="preserve">"You loved the ramen in Osaka — there's a similar spot near your hotel."</w:t>
            </w:r>
          </w:p>
          <w:p>
            <w:r>
              <w:rPr>
                <w:rFonts w:ascii="Poppins" w:cs="Poppins" w:eastAsia="Poppins" w:hAnsi="Poppins"/>
                <w:b/>
                <w:bCs/>
                <w:color w:val="C0392B"/>
                <w:sz w:val="19"/>
                <w:szCs w:val="19"/>
              </w:rPr>
              <w:t xml:space="preserve">✗  </w:t>
            </w: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"Here are some popular restaurants near your location."</w:t>
            </w:r>
          </w:p>
        </w:tc>
      </w:tr>
    </w:tbl>
    <w:p>
      <w:pPr>
        <w:spacing w:after="80" w:before="0"/>
      </w:pPr>
    </w:p>
    <w:p>
      <w:pPr>
        <w:spacing w:after="60" w:before="0"/>
      </w:pPr>
    </w:p>
    <w:p>
      <w:pPr>
        <w:spacing w:after="40" w:before="120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Writing Rules</w:t>
      </w: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53"/>
        <w:gridCol w:w="4153"/>
      </w:tblGrid>
      <w:tr>
        <w:tc>
          <w:tcPr>
            <w:tcW w:type="dxa" w:w="4153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0FB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20"/>
                <w:szCs w:val="20"/>
              </w:rPr>
              <w:t xml:space="preserve">✓  Do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Write the brand name as t.Co. — bold in running text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Use 'traveler' not 'user' in user-facing copy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Active voice: 'Tico finds the route' not 'the route is found'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First mention: full name t.Co. Personal AI Travel Concierge</w:t>
            </w:r>
          </w:p>
        </w:tc>
        <w:tc>
          <w:tcPr>
            <w:tcW w:type="dxa" w:w="4153"/>
            <w:tcBorders>
              <w:top w:val="single" w:color="C0392B" w:sz="8"/>
              <w:left w:val="single" w:color="E2DDD4" w:sz="2"/>
              <w:bottom w:val="single" w:color="E2DDD4" w:sz="2"/>
              <w:right w:val="single" w:color="E2DDD4" w:sz="2"/>
            </w:tcBorders>
            <w:shd w:fill="FD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80" w:before="0"/>
            </w:pPr>
            <w:r>
              <w:rPr>
                <w:rFonts w:ascii="Poppins" w:cs="Poppins" w:eastAsia="Poppins" w:hAnsi="Poppins"/>
                <w:b/>
                <w:bCs/>
                <w:color w:val="C0392B"/>
                <w:sz w:val="20"/>
                <w:szCs w:val="20"/>
              </w:rPr>
              <w:t xml:space="preserve">✗  Don't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Never write TCO, tco, T.CO, t.co, or Tco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Avoid 'AI-powered', 'leverage', 'seamless', 'cutting-edge'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No exclamation marks in Tico's voice — confident, not excited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6B6560"/>
                <w:sz w:val="20"/>
                <w:szCs w:val="20"/>
              </w:rPr>
              <w:t xml:space="preserve">Don't start Tico responses with 'I' — center the traveler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10 — Quick Reference</w:t>
      </w:r>
    </w:p>
    <w:p>
      <w:pPr>
        <w:spacing w:after="120" w:before="0"/>
      </w:pPr>
      <w:r>
        <w:rPr>
          <w:rFonts w:ascii="Poppins" w:cs="Poppins" w:eastAsia="Poppins" w:hAnsi="Poppins"/>
          <w:b/>
          <w:bCs/>
          <w:color w:val="0B1D3A"/>
          <w:sz w:val="48"/>
          <w:szCs w:val="48"/>
        </w:rPr>
        <w:t xml:space="preserve">Quick Reference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0"/>
          <w:szCs w:val="20"/>
        </w:rPr>
        <w:t xml:space="preserve">Before finalizing any output: "Does this feel like a premium travel concierge product — dark, elegant, gold-accented, with quiet confidence?"</w:t>
      </w:r>
    </w:p>
    <w:p>
      <w:pPr>
        <w:spacing w:after="10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92"/>
        <w:gridCol w:w="1827"/>
        <w:gridCol w:w="3987"/>
      </w:tblGrid>
      <w:tr>
        <w:trPr>
          <w:tblHeader/>
        </w:trPr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Token / Rule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Value</w:t>
            </w:r>
          </w:p>
        </w:tc>
        <w:tc>
          <w:tcPr>
            <w:tcW w:type="dxa" w:w="398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C8A96E"/>
                <w:sz w:val="17"/>
                <w:szCs w:val="17"/>
              </w:rPr>
              <w:t xml:space="preserve">Usage</w:t>
            </w:r>
          </w:p>
        </w:tc>
      </w:tr>
      <w:tr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--gold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#C8A96E</w:t>
            </w:r>
          </w:p>
        </w:tc>
        <w:tc>
          <w:tcPr>
            <w:tcW w:type="dxa" w:w="398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Logo, labels, CTAs, accents</w:t>
            </w:r>
          </w:p>
        </w:tc>
      </w:tr>
      <w:tr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--teal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#4ECDC4</w:t>
            </w:r>
          </w:p>
        </w:tc>
        <w:tc>
          <w:tcPr>
            <w:tcW w:type="dxa" w:w="398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Interactive, AI indicators</w:t>
            </w:r>
          </w:p>
        </w:tc>
      </w:tr>
      <w:tr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--purple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#7C6FCD</w:t>
            </w:r>
          </w:p>
        </w:tc>
        <w:tc>
          <w:tcPr>
            <w:tcW w:type="dxa" w:w="398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Design status, secondary</w:t>
            </w:r>
          </w:p>
        </w:tc>
      </w:tr>
      <w:tr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--bg (dark)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#0A0A0F</w:t>
            </w:r>
          </w:p>
        </w:tc>
        <w:tc>
          <w:tcPr>
            <w:tcW w:type="dxa" w:w="398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Default page background</w:t>
            </w:r>
          </w:p>
        </w:tc>
      </w:tr>
      <w:tr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--font-latin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'Poppins'</w:t>
            </w:r>
          </w:p>
        </w:tc>
        <w:tc>
          <w:tcPr>
            <w:tcW w:type="dxa" w:w="398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All Latin / UI / headings</w:t>
            </w:r>
          </w:p>
        </w:tc>
      </w:tr>
      <w:tr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--font-mono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'JetBrains Mono'</w:t>
            </w:r>
          </w:p>
        </w:tc>
        <w:tc>
          <w:tcPr>
            <w:tcW w:type="dxa" w:w="398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Code, IDs, hex, metadata</w:t>
            </w:r>
          </w:p>
        </w:tc>
      </w:tr>
      <w:tr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--radius-lg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12px</w:t>
            </w:r>
          </w:p>
        </w:tc>
        <w:tc>
          <w:tcPr>
            <w:tcW w:type="dxa" w:w="398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Cards, major containers</w:t>
            </w:r>
          </w:p>
        </w:tc>
      </w:tr>
      <w:tr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transition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all 0.2s ease</w:t>
            </w:r>
          </w:p>
        </w:tc>
        <w:tc>
          <w:tcPr>
            <w:tcW w:type="dxa" w:w="398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Standard hover</w:t>
            </w:r>
          </w:p>
        </w:tc>
      </w:tr>
      <w:tr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19"/>
                <w:szCs w:val="19"/>
              </w:rPr>
              <w:t xml:space="preserve">Brand name</w:t>
            </w:r>
          </w:p>
        </w:tc>
        <w:tc>
          <w:tcPr>
            <w:tcW w:type="dxa" w:w="182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19"/>
                <w:szCs w:val="19"/>
              </w:rPr>
              <w:t xml:space="preserve">t.Co.</w:t>
            </w:r>
          </w:p>
        </w:tc>
        <w:tc>
          <w:tcPr>
            <w:tcW w:type="dxa" w:w="398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19"/>
                <w:szCs w:val="19"/>
              </w:rPr>
              <w:t xml:space="preserve">Bold, both periods, lowercase t, uppercase C</w:t>
            </w:r>
          </w:p>
        </w:tc>
      </w:tr>
    </w:tbl>
    <w:p>
      <w:pPr>
        <w:spacing w:after="200" w:before="0"/>
      </w:pPr>
    </w:p>
    <w:p>
      <w:pPr>
        <w:pBdr>
          <w:bottom w:val="single" w:color="C8A96E" w:sz="6" w:space="1"/>
        </w:pBdr>
        <w:spacing w:after="120" w:before="80"/>
      </w:pP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18"/>
          <w:szCs w:val="18"/>
        </w:rPr>
        <w:t xml:space="preserve">t.Co.  ·  Brand Identity &amp; Design System  ·  v1.0  ·  M.Design  ·  HIT 2026</w:t>
      </w:r>
    </w:p>
    <w:sectPr>
      <w:headerReference w:type="default" r:id="rId7"/>
      <w:footerReference w:type="default" r:id="rId8"/>
      <w:pgSz w:w="11906" w:h="16838" w:orient="portrait"/>
      <w:pgMar w:top="1400" w:right="1800" w:bottom="140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DDD4" w:sz="2" w:space="1"/>
      </w:pBdr>
      <w:spacing w:after="0" w:before="80"/>
      <w:jc w:val="center"/>
    </w:pPr>
    <w:r>
      <w:rPr>
        <w:rFonts w:ascii="Poppins" w:cs="Poppins" w:eastAsia="Poppins" w:hAnsi="Poppins"/>
        <w:color w:val="6B6560"/>
        <w:sz w:val="16"/>
        <w:szCs w:val="16"/>
      </w:rPr>
      <w:t xml:space="preserve">t.Co. Brand &amp; Design System  ·  v1.0  ·  </w:t>
    </w:r>
    <w:r>
      <w:rPr>
        <w:rFonts w:ascii="Poppins" w:cs="Poppins" w:eastAsia="Poppins" w:hAnsi="Poppins"/>
        <w:color w:val="6B656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A96E" w:sz="4" w:space="1"/>
      </w:pBdr>
      <w:spacing w:after="80" w:before="0"/>
    </w:pPr>
    <w:r>
      <w:rPr>
        <w:rFonts w:ascii="Poppins" w:cs="Poppins" w:eastAsia="Poppins" w:hAnsi="Poppins"/>
        <w:color w:val="6B6560"/>
        <w:sz w:val="16"/>
        <w:szCs w:val="16"/>
      </w:rPr>
      <w:t xml:space="preserve">t.Co.  —  Brand Identity &amp; Design System  —  v1.0  —  David Castiel  ·  HIT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Poppins" w:cs="Poppins" w:eastAsia="Poppins" w:hAnsi="Poppins"/>
        <w:color w:val="9A7A3E"/>
        <w:sz w:val="19"/>
        <w:szCs w:val="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oppins" w:cs="Poppins" w:eastAsia="Poppins" w:hAnsi="Poppins"/>
        <w:color w:val="0F1C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2026-04-03T19:07:22.630Z</dcterms:created>
  <dcterms:modified xsi:type="dcterms:W3CDTF">2026-04-03T19:07:22.631Z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